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bookmarkStart w:id="0" w:name="tv509465_6k.htm"/>
      <w:bookmarkStart w:id="1" w:name="kstv509465_6k"/>
      <w:bookmarkEnd w:id="0"/>
      <w:bookmarkEnd w:id="1"/>
      <w:r>
        <w:rPr/>
        <w:t> </w:t>
      </w:r>
    </w:p>
    <w:p>
      <w:pPr>
        <w:pStyle w:val="TextBody"/>
        <w:jc w:val="left"/>
        <w:rPr>
          <w:bdr w:val="single" w:sz="16" w:space="1" w:color="000000"/>
        </w:rPr>
      </w:pPr>
      <w:r>
        <w:rPr>
          <w:bdr w:val="single" w:sz="16" w:space="1" w:color="000000"/>
        </w:rPr>
        <w:t> </w:t>
      </w:r>
    </w:p>
    <w:p>
      <w:pPr>
        <w:pStyle w:val="TextBody"/>
        <w:rPr/>
      </w:pPr>
      <w:r>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2018</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Commission File Number 1-11414</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8"/>
        </w:rPr>
      </w:pPr>
      <w:r>
        <w:rPr>
          <w:rFonts w:ascii="Times New Roman;Times;Serif" w:hAnsi="Times New Roman;Times;Serif"/>
          <w:b/>
          <w:i w:val="false"/>
          <w:caps w:val="false"/>
          <w:smallCaps w:val="false"/>
          <w:sz w:val="28"/>
        </w:rPr>
        <w:t>BANCO LATINOAMERICANO DE COMERCIO EXTERIOR, S.A.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8"/>
        </w:rPr>
      </w:pPr>
      <w:r>
        <w:rPr>
          <w:rFonts w:ascii="Times New Roman;Times;Serif" w:hAnsi="Times New Roman;Times;Serif"/>
          <w:b/>
          <w:i w:val="false"/>
          <w:caps w:val="false"/>
          <w:smallCaps w:val="false"/>
          <w:sz w:val="28"/>
        </w:rPr>
        <w:t>FOREIGN TRADE BANK OF LATIN AMERICA, INC.</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tbl>
      <w:tblPr>
        <w:tblW w:w="2068" w:type="dxa"/>
        <w:jc w:val="center"/>
        <w:tblInd w:w="0" w:type="dxa"/>
        <w:tblCellMar>
          <w:top w:w="0" w:type="dxa"/>
          <w:left w:w="0" w:type="dxa"/>
          <w:bottom w:w="0" w:type="dxa"/>
          <w:right w:w="0" w:type="dxa"/>
        </w:tblCellMar>
      </w:tblPr>
      <w:tblGrid>
        <w:gridCol w:w="1088"/>
        <w:gridCol w:w="980"/>
      </w:tblGrid>
      <w:tr>
        <w:trPr/>
        <w:tc>
          <w:tcPr>
            <w:tcW w:w="1088" w:type="dxa"/>
            <w:tcBorders/>
            <w:shd w:fill="auto" w:val="clear"/>
            <w:vAlign w:val="center"/>
          </w:tcPr>
          <w:p>
            <w:pPr>
              <w:pStyle w:val="TableContents"/>
              <w:spacing w:before="0" w:after="283"/>
              <w:ind w:left="0" w:right="0" w:firstLine="108"/>
              <w:jc w:val="center"/>
              <w:rPr>
                <w:sz w:val="17"/>
              </w:rPr>
            </w:pPr>
            <w:r>
              <w:rPr>
                <w:sz w:val="17"/>
              </w:rPr>
              <w:t>Form 20-F ☒</w:t>
            </w:r>
          </w:p>
        </w:tc>
        <w:tc>
          <w:tcPr>
            <w:tcW w:w="980" w:type="dxa"/>
            <w:tcBorders/>
            <w:shd w:fill="auto" w:val="clear"/>
            <w:vAlign w:val="center"/>
          </w:tcPr>
          <w:p>
            <w:pPr>
              <w:pStyle w:val="TableContents"/>
              <w:spacing w:before="0" w:after="283"/>
              <w:jc w:val="center"/>
              <w:rPr>
                <w:sz w:val="17"/>
              </w:rPr>
            </w:pPr>
            <w:r>
              <w:rPr>
                <w:sz w:val="17"/>
              </w:rPr>
              <w:t>Form 40-F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101(b)(1):</w:t>
      </w:r>
    </w:p>
    <w:p>
      <w:pPr>
        <w:pStyle w:val="TextBody"/>
        <w:spacing w:before="0" w:after="0"/>
        <w:ind w:left="0" w:right="0" w:hanging="0"/>
        <w:jc w:val="both"/>
        <w:rPr>
          <w:caps w:val="false"/>
          <w:smallCaps w:val="false"/>
        </w:rPr>
      </w:pPr>
      <w:r>
        <w:rPr>
          <w:caps w:val="false"/>
          <w:smallCaps w:val="false"/>
        </w:rPr>
        <w:t> </w:t>
      </w:r>
    </w:p>
    <w:tbl>
      <w:tblPr>
        <w:tblW w:w="1033" w:type="dxa"/>
        <w:jc w:val="center"/>
        <w:tblInd w:w="0" w:type="dxa"/>
        <w:tblCellMar>
          <w:top w:w="0" w:type="dxa"/>
          <w:left w:w="0" w:type="dxa"/>
          <w:bottom w:w="0" w:type="dxa"/>
          <w:right w:w="0" w:type="dxa"/>
        </w:tblCellMar>
      </w:tblPr>
      <w:tblGrid>
        <w:gridCol w:w="593"/>
        <w:gridCol w:w="440"/>
      </w:tblGrid>
      <w:tr>
        <w:trPr/>
        <w:tc>
          <w:tcPr>
            <w:tcW w:w="593" w:type="dxa"/>
            <w:tcBorders/>
            <w:shd w:fill="auto" w:val="clear"/>
            <w:vAlign w:val="center"/>
          </w:tcPr>
          <w:p>
            <w:pPr>
              <w:pStyle w:val="TableContents"/>
              <w:spacing w:before="0" w:after="283"/>
              <w:ind w:left="0" w:right="0" w:firstLine="108"/>
              <w:jc w:val="center"/>
              <w:rPr>
                <w:sz w:val="17"/>
              </w:rPr>
            </w:pPr>
            <w:r>
              <w:rPr>
                <w:sz w:val="17"/>
              </w:rPr>
              <w:t>Yes ☐</w:t>
            </w:r>
          </w:p>
        </w:tc>
        <w:tc>
          <w:tcPr>
            <w:tcW w:w="440" w:type="dxa"/>
            <w:tcBorders/>
            <w:shd w:fill="auto" w:val="clear"/>
            <w:vAlign w:val="center"/>
          </w:tcPr>
          <w:p>
            <w:pPr>
              <w:pStyle w:val="TableContents"/>
              <w:spacing w:before="0" w:after="283"/>
              <w:jc w:val="center"/>
              <w:rPr>
                <w:sz w:val="17"/>
              </w:rPr>
            </w:pPr>
            <w:r>
              <w:rPr>
                <w:sz w:val="17"/>
              </w:rPr>
              <w:t>No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101(b)(7):</w:t>
      </w:r>
    </w:p>
    <w:p>
      <w:pPr>
        <w:pStyle w:val="TextBody"/>
        <w:spacing w:before="0" w:after="0"/>
        <w:ind w:left="0" w:right="0" w:hanging="0"/>
        <w:jc w:val="both"/>
        <w:rPr>
          <w:caps w:val="false"/>
          <w:smallCaps w:val="false"/>
        </w:rPr>
      </w:pPr>
      <w:r>
        <w:rPr>
          <w:caps w:val="false"/>
          <w:smallCaps w:val="false"/>
        </w:rPr>
        <w:t> </w:t>
      </w:r>
    </w:p>
    <w:tbl>
      <w:tblPr>
        <w:tblW w:w="1033" w:type="dxa"/>
        <w:jc w:val="center"/>
        <w:tblInd w:w="0" w:type="dxa"/>
        <w:tblCellMar>
          <w:top w:w="0" w:type="dxa"/>
          <w:left w:w="0" w:type="dxa"/>
          <w:bottom w:w="0" w:type="dxa"/>
          <w:right w:w="0" w:type="dxa"/>
        </w:tblCellMar>
      </w:tblPr>
      <w:tblGrid>
        <w:gridCol w:w="593"/>
        <w:gridCol w:w="440"/>
      </w:tblGrid>
      <w:tr>
        <w:trPr/>
        <w:tc>
          <w:tcPr>
            <w:tcW w:w="593" w:type="dxa"/>
            <w:tcBorders/>
            <w:shd w:fill="auto" w:val="clear"/>
            <w:vAlign w:val="center"/>
          </w:tcPr>
          <w:p>
            <w:pPr>
              <w:pStyle w:val="TableContents"/>
              <w:spacing w:before="0" w:after="283"/>
              <w:ind w:left="0" w:right="0" w:firstLine="108"/>
              <w:jc w:val="center"/>
              <w:rPr>
                <w:sz w:val="17"/>
              </w:rPr>
            </w:pPr>
            <w:r>
              <w:rPr>
                <w:sz w:val="17"/>
              </w:rPr>
              <w:t>Yes ☐</w:t>
            </w:r>
          </w:p>
        </w:tc>
        <w:tc>
          <w:tcPr>
            <w:tcW w:w="440" w:type="dxa"/>
            <w:tcBorders/>
            <w:shd w:fill="auto" w:val="clear"/>
            <w:vAlign w:val="center"/>
          </w:tcPr>
          <w:p>
            <w:pPr>
              <w:pStyle w:val="TableContents"/>
              <w:spacing w:before="0" w:after="283"/>
              <w:jc w:val="center"/>
              <w:rPr>
                <w:sz w:val="17"/>
              </w:rPr>
            </w:pPr>
            <w:r>
              <w:rPr>
                <w:sz w:val="17"/>
              </w:rPr>
              <w:t>No ☒</w:t>
            </w:r>
          </w:p>
        </w:tc>
      </w:tr>
    </w:tbl>
    <w:p>
      <w:pPr>
        <w:pStyle w:val="TextBody"/>
        <w:spacing w:before="0" w:after="0"/>
        <w:ind w:left="0" w:right="0" w:hanging="0"/>
        <w:jc w:val="both"/>
        <w:rPr>
          <w:caps w:val="false"/>
          <w:smallCaps w:val="false"/>
        </w:rPr>
      </w:pPr>
      <w:r>
        <w:rPr>
          <w:caps w:val="false"/>
          <w:smallCaps w:val="false"/>
        </w:rPr>
        <w:t>   </w:t>
      </w:r>
    </w:p>
    <w:p>
      <w:pPr>
        <w:pStyle w:val="TextBody"/>
        <w:jc w:val="left"/>
        <w:rPr>
          <w:bdr w:val="single" w:sz="8" w:space="1" w:color="000000"/>
        </w:rPr>
      </w:pPr>
      <w:r>
        <w:rPr>
          <w:bdr w:val="single" w:sz="8" w:space="1" w:color="000000"/>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thereunto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tbl>
      <w:tblPr>
        <w:tblW w:w="7570" w:type="dxa"/>
        <w:jc w:val="left"/>
        <w:tblInd w:w="0" w:type="dxa"/>
        <w:tblCellMar>
          <w:top w:w="0" w:type="dxa"/>
          <w:left w:w="0" w:type="dxa"/>
          <w:bottom w:w="0" w:type="dxa"/>
          <w:right w:w="0" w:type="dxa"/>
        </w:tblCellMar>
      </w:tblPr>
      <w:tblGrid>
        <w:gridCol w:w="1865"/>
        <w:gridCol w:w="5705"/>
      </w:tblGrid>
      <w:tr>
        <w:trPr/>
        <w:tc>
          <w:tcPr>
            <w:tcW w:w="1865" w:type="dxa"/>
            <w:tcBorders/>
            <w:shd w:fill="auto" w:val="clear"/>
            <w:vAlign w:val="center"/>
          </w:tcPr>
          <w:p>
            <w:pPr>
              <w:pStyle w:val="TableContents"/>
              <w:spacing w:before="0" w:after="283"/>
              <w:jc w:val="both"/>
              <w:rPr>
                <w:sz w:val="17"/>
              </w:rPr>
            </w:pPr>
            <w:r>
              <w:rPr>
                <w:sz w:val="17"/>
              </w:rPr>
              <w:t>Date:  December 18, 2018</w:t>
            </w:r>
          </w:p>
        </w:tc>
        <w:tc>
          <w:tcPr>
            <w:tcW w:w="5705" w:type="dxa"/>
            <w:tcBorders/>
            <w:shd w:fill="auto" w:val="clear"/>
            <w:vAlign w:val="center"/>
          </w:tcPr>
          <w:p>
            <w:pPr>
              <w:pStyle w:val="TableContents"/>
              <w:spacing w:before="0" w:after="283"/>
              <w:jc w:val="both"/>
              <w:rPr/>
            </w:pPr>
            <w:r>
              <w:rPr/>
              <w:t> </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pPr>
            <w:r>
              <w:rPr/>
              <w:t>FOREIGN TRADE BANK OF LATIN AMERICA, INC.</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i/>
              </w:rPr>
            </w:pPr>
            <w:r>
              <w:rPr>
                <w:i/>
              </w:rPr>
              <w:t>(Registrant)</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pPr>
            <w:r>
              <w:rPr/>
              <w:t> </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pPr>
            <w:r>
              <w:rPr/>
              <w:t> </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sz w:val="17"/>
              </w:rPr>
            </w:pPr>
            <w:r>
              <w:rPr>
                <w:sz w:val="17"/>
              </w:rPr>
              <w:t xml:space="preserve">By: </w:t>
            </w:r>
            <w:r>
              <w:rPr>
                <w:sz w:val="17"/>
                <w:u w:val="single"/>
              </w:rPr>
              <w:t>/s/ Ana Graciela de Méndez</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sz w:val="17"/>
              </w:rPr>
            </w:pPr>
            <w:r>
              <w:rPr>
                <w:sz w:val="17"/>
              </w:rPr>
              <w:t>Name: Ana Graciela de Méndez</w:t>
            </w:r>
          </w:p>
        </w:tc>
      </w:tr>
      <w:tr>
        <w:trPr/>
        <w:tc>
          <w:tcPr>
            <w:tcW w:w="1865" w:type="dxa"/>
            <w:tcBorders/>
            <w:shd w:fill="auto" w:val="clear"/>
            <w:vAlign w:val="center"/>
          </w:tcPr>
          <w:p>
            <w:pPr>
              <w:pStyle w:val="TableContents"/>
              <w:spacing w:before="0" w:after="283"/>
              <w:rPr/>
            </w:pPr>
            <w:r>
              <w:rPr/>
              <w:t> </w:t>
            </w:r>
          </w:p>
        </w:tc>
        <w:tc>
          <w:tcPr>
            <w:tcW w:w="5705" w:type="dxa"/>
            <w:tcBorders/>
            <w:shd w:fill="auto" w:val="clear"/>
            <w:vAlign w:val="center"/>
          </w:tcPr>
          <w:p>
            <w:pPr>
              <w:pStyle w:val="TableContents"/>
              <w:spacing w:before="0" w:after="283"/>
              <w:rPr>
                <w:sz w:val="17"/>
              </w:rPr>
            </w:pPr>
            <w:r>
              <w:rPr>
                <w:sz w:val="17"/>
              </w:rPr>
              <w:t>Title:   CFO</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rPr/>
      </w:pPr>
      <w:r>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IMMEDIATE RELEASE</w:t>
      </w:r>
    </w:p>
    <w:p>
      <w:pPr>
        <w:pStyle w:val="TextBody"/>
        <w:spacing w:before="0" w:after="0"/>
        <w:ind w:left="0" w:right="0" w:hanging="0"/>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drawing>
          <wp:inline distT="0" distB="0" distL="0" distR="0">
            <wp:extent cx="1494155" cy="6400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94155" cy="640080"/>
                    </a:xfrm>
                    <a:prstGeom prst="rect">
                      <a:avLst/>
                    </a:prstGeom>
                  </pic:spPr>
                </pic:pic>
              </a:graphicData>
            </a:graphic>
          </wp:inline>
        </w:drawing>
      </w: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Bladex co-leads successful syndication of a US$50 million 5-year Senior, Secured Acquisition Finance Facility for Global Bank Corporation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Panama City, Republic of Panamá, December 18, 2018 – </w:t>
      </w:r>
      <w:r>
        <w:rPr>
          <w:rFonts w:ascii="Times New Roman;Times;Serif" w:hAnsi="Times New Roman;Times;Serif"/>
          <w:b w:val="false"/>
          <w:i w:val="false"/>
          <w:caps w:val="false"/>
          <w:smallCaps w:val="false"/>
          <w:sz w:val="20"/>
        </w:rPr>
        <w:t>Banco Latinoamericano de Comercio Exterior, S.A. (“Bladex” or the “Bank”) today announced the successful closing of a US$50 million 5-year senior, secured, amortizing acquisition finance facility (the “Facility”) for G.B. Group Corporation, the parent company of Global Bank Corporation (“Global Bank”).</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Established in Panama in 1994, Global Bank is the second largest Panamanian-owned bank, with US$6.5 billion in assets, US$5.0 billion in loans and US$3.5 billion in deposits as of June 30, 2018. The bank is rated BBB- (stable outlook) from both S&amp;P Global Ratings and Fitch Ratings.</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acted as Joint Lead Arranger and Bookrunner, together with JP Morgan Chase &amp; Co. Bladex is also the Administrative Agent under the Facility.</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Proceeds of the Facility were used to support Global Bank´s acquisition of Banco Panameño de la Vivienda, S.A. (“Banvivienda”), the fifth largest Panamanian-owned bank in terms of assets. Through the acquisition, Global Bank will strengthen its market position in the country, increasing its total assets by more than U$1.8 billion, diversify its loan portfolio mix, mainly in the consumer loan segment, and enlarge its deposit base with more than 39,000 new clients.</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Facility attracted the interest of various financial institutions from Central America and the Caribbean, Europe and North America, some of which represent new banking relationships for Global Bank.</w:t>
      </w:r>
    </w:p>
    <w:p>
      <w:pPr>
        <w:pStyle w:val="TextBody"/>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This transaction marks the second syndicated facility co-arranged by Bladex for Global Bank, following a US$135.5 million medium-term facility successfully closed in 2016.</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Gabriel Tolchinsky, Chief Executive Officer of Bladex, stated: “We are very pleased to have had the opportunity to support Global Bank with medium-term financing for its strategic acquisition and to have teamed-up with JP Morgan to structure a tailor-made solution. The success of the transaction attests to Bladex´s </w:t>
      </w:r>
      <w:r>
        <w:rPr>
          <w:rFonts w:ascii="Times New Roman;Times;Serif" w:hAnsi="Times New Roman;Times;Serif"/>
          <w:b w:val="false"/>
          <w:i w:val="false"/>
          <w:caps w:val="false"/>
          <w:smallCaps w:val="false"/>
          <w:sz w:val="20"/>
          <w:highlight w:val="white"/>
        </w:rPr>
        <w:t xml:space="preserve">strong origination, </w:t>
      </w:r>
      <w:r>
        <w:rPr>
          <w:rFonts w:ascii="Times New Roman;Times;Serif" w:hAnsi="Times New Roman;Times;Serif"/>
          <w:b w:val="false"/>
          <w:i w:val="false"/>
          <w:caps w:val="false"/>
          <w:smallCaps w:val="false"/>
          <w:sz w:val="20"/>
        </w:rPr>
        <w:t>structuring and syndication capabilities and its commitment to help its clients grow their businesses in the Region.”</w:t>
      </w:r>
    </w:p>
    <w:p>
      <w:pPr>
        <w:pStyle w:val="TextBody"/>
        <w:shd w:fill="FFFFFF" w:val="clear"/>
        <w:spacing w:before="0" w:after="0"/>
        <w:ind w:left="0" w:right="0" w:hanging="0"/>
        <w:jc w:val="both"/>
        <w:rPr>
          <w:caps w:val="false"/>
          <w:smallCaps w:val="false"/>
        </w:rPr>
      </w:pPr>
      <w:r>
        <w:rPr>
          <w:caps w:val="false"/>
          <w:smallCaps w:val="false"/>
        </w:rPr>
        <w:t> </w:t>
      </w:r>
    </w:p>
    <w:p>
      <w:pPr>
        <w:pStyle w:val="TextBody"/>
        <w:spacing w:before="0" w:after="0"/>
        <w:ind w:left="0" w:right="0" w:hanging="0"/>
        <w:rPr>
          <w:bdr w:val="single" w:sz="8" w:space="1" w:color="000000"/>
        </w:rPr>
      </w:pPr>
      <w:r>
        <w:rPr>
          <w:bdr w:val="single" w:sz="8" w:space="1" w:color="000000"/>
        </w:rPr>
        <w:t> </w:t>
      </w:r>
    </w:p>
    <w:p>
      <w:pPr>
        <w:pStyle w:val="TextBody"/>
        <w:spacing w:before="0" w:after="0"/>
        <w:ind w:left="0" w:right="0" w:hanging="0"/>
        <w:rPr/>
      </w:pPr>
      <w:r>
        <w:rPr/>
        <w:t> </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Jorge E. Vallarino Miranda, Executive Vice President of Global Bank, highlighted: “The acquisition of Banvivienda shows our shareholders’ continued commitment to the development of Panama’s financial sector. This transaction solidifies Global Bank’s market position and will generate significant value for our customers and investors. We would like to thank the Joint Lead Arrangers and participating financial institutions for their continued support in growing our business.”</w:t>
      </w:r>
    </w:p>
    <w:p>
      <w:pPr>
        <w:pStyle w:val="TextBody"/>
        <w:shd w:fill="FFFFFF" w:val="clear"/>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further information on Bladex, please access its website at www.bladex.com or contact:</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bdr w:val="single" w:sz="8" w:space="5" w:color="000000"/>
        </w:rPr>
      </w:pPr>
      <w:r>
        <w:rPr>
          <w:rFonts w:ascii="Times New Roman;Times;Serif" w:hAnsi="Times New Roman;Times;Serif"/>
          <w:b w:val="false"/>
          <w:i w:val="false"/>
          <w:caps w:val="false"/>
          <w:smallCaps w:val="false"/>
          <w:sz w:val="20"/>
          <w:bdr w:val="single" w:sz="8" w:space="5" w:color="000000"/>
        </w:rPr>
        <w:t>Mónica Cosulich – VP, Finance and Investor Relations</w:t>
      </w:r>
    </w:p>
    <w:p>
      <w:pPr>
        <w:pStyle w:val="TextBody"/>
        <w:spacing w:before="0" w:after="0"/>
        <w:ind w:left="0" w:right="0" w:hanging="0"/>
        <w:rPr>
          <w:rFonts w:ascii="Times New Roman;Times;Serif" w:hAnsi="Times New Roman;Times;Serif"/>
          <w:b w:val="false"/>
          <w:i w:val="false"/>
          <w:caps w:val="false"/>
          <w:smallCaps w:val="false"/>
          <w:sz w:val="20"/>
          <w:bdr w:val="single" w:sz="8" w:space="5" w:color="000000"/>
        </w:rPr>
      </w:pPr>
      <w:r>
        <w:rPr>
          <w:rFonts w:ascii="Times New Roman;Times;Serif" w:hAnsi="Times New Roman;Times;Serif"/>
          <w:b w:val="false"/>
          <w:i w:val="false"/>
          <w:caps w:val="false"/>
          <w:smallCaps w:val="false"/>
          <w:sz w:val="20"/>
          <w:bdr w:val="single" w:sz="8" w:space="5" w:color="000000"/>
        </w:rPr>
        <w:t>E-mail address: ir@bladex.com Tel.: (+507) 210-8563</w:t>
      </w:r>
    </w:p>
    <w:p>
      <w:pPr>
        <w:pStyle w:val="TextBody"/>
        <w:spacing w:before="0" w:after="0"/>
        <w:ind w:left="0" w:right="0" w:hanging="0"/>
        <w:rPr>
          <w:rFonts w:ascii="Times New Roman;Times;Serif" w:hAnsi="Times New Roman;Times;Serif"/>
          <w:b w:val="false"/>
          <w:i w:val="false"/>
          <w:caps w:val="false"/>
          <w:smallCaps w:val="false"/>
          <w:sz w:val="20"/>
          <w:bdr w:val="single" w:sz="8" w:space="5" w:color="000000"/>
        </w:rPr>
      </w:pPr>
      <w:r>
        <w:rPr>
          <w:rFonts w:ascii="Times New Roman;Times;Serif" w:hAnsi="Times New Roman;Times;Serif"/>
          <w:b w:val="false"/>
          <w:i w:val="false"/>
          <w:caps w:val="false"/>
          <w:smallCaps w:val="false"/>
          <w:sz w:val="20"/>
          <w:bdr w:val="single" w:sz="8" w:space="5" w:color="000000"/>
        </w:rPr>
        <w:t>Head Office Address: Torre V, Business Park, Avenida La Rotonda, Urb. Costa del Este,</w:t>
      </w:r>
    </w:p>
    <w:p>
      <w:pPr>
        <w:pStyle w:val="TextBody"/>
        <w:spacing w:before="0" w:after="0"/>
        <w:ind w:left="0" w:right="0" w:hanging="0"/>
        <w:rPr>
          <w:rFonts w:ascii="Times New Roman;Times;Serif" w:hAnsi="Times New Roman;Times;Serif"/>
          <w:b w:val="false"/>
          <w:i w:val="false"/>
          <w:caps w:val="false"/>
          <w:smallCaps w:val="false"/>
          <w:sz w:val="20"/>
          <w:bdr w:val="single" w:sz="8" w:space="5" w:color="000000"/>
        </w:rPr>
      </w:pPr>
      <w:r>
        <w:rPr>
          <w:rFonts w:ascii="Times New Roman;Times;Serif" w:hAnsi="Times New Roman;Times;Serif"/>
          <w:b w:val="false"/>
          <w:i w:val="false"/>
          <w:caps w:val="false"/>
          <w:smallCaps w:val="false"/>
          <w:sz w:val="20"/>
          <w:bdr w:val="single" w:sz="8" w:space="5" w:color="000000"/>
        </w:rPr>
        <w:t>Panama, Republic of Panama</w:t>
      </w:r>
    </w:p>
    <w:p>
      <w:pPr>
        <w:pStyle w:val="TextBody"/>
        <w:spacing w:before="0" w:after="0"/>
        <w:ind w:left="0" w:right="0" w:hanging="0"/>
        <w:jc w:val="both"/>
        <w:rPr>
          <w:caps w:val="false"/>
          <w:smallCaps w:val="false"/>
          <w:color w:val="30417E"/>
        </w:rPr>
      </w:pPr>
      <w:r>
        <w:rPr>
          <w:caps w:val="false"/>
          <w:smallCaps w:val="false"/>
          <w:color w:val="30417E"/>
        </w:rPr>
        <w:t>  </w:t>
      </w:r>
    </w:p>
    <w:p>
      <w:pPr>
        <w:pStyle w:val="TextBody"/>
        <w:spacing w:before="0" w:after="0"/>
        <w:ind w:left="0" w:right="0" w:hanging="0"/>
        <w:rPr>
          <w:bdr w:val="single" w:sz="8" w:space="1" w:color="000000"/>
        </w:rPr>
      </w:pPr>
      <w:r>
        <w:rPr>
          <w:bdr w:val="single" w:sz="8" w:space="1" w:color="000000"/>
        </w:rPr>
        <w:t> </w:t>
      </w:r>
    </w:p>
    <w:p>
      <w:pPr>
        <w:pStyle w:val="TextBody"/>
        <w:ind w:left="0" w:right="0" w:hanging="0"/>
        <w:rPr/>
      </w:pPr>
      <w:r>
        <w:rPr/>
        <w:t> </w:t>
      </w:r>
    </w:p>
    <w:p>
      <w:pPr>
        <w:pStyle w:val="TextBody"/>
        <w:rPr/>
      </w:pPr>
      <w:r>
        <w:rPr/>
        <w:t> </w:t>
      </w:r>
    </w:p>
    <w:p>
      <w:pPr>
        <w:pStyle w:val="TextBody"/>
        <w:spacing w:before="0" w:after="283"/>
        <w:rPr/>
      </w:pPr>
      <w:r>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5</Pages>
  <Words>775</Words>
  <CharactersWithSpaces>5210</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